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17B" w:rsidRDefault="00A8117B" w:rsidP="005244E7">
      <w:pPr>
        <w:pStyle w:val="Heading1"/>
      </w:pPr>
      <w:bookmarkStart w:id="0" w:name="_GoBack"/>
      <w:bookmarkEnd w:id="0"/>
      <w:proofErr w:type="spellStart"/>
      <w:r>
        <w:t>Microgeneration</w:t>
      </w:r>
      <w:proofErr w:type="spellEnd"/>
      <w:r>
        <w:t xml:space="preserve"> Government-Industry Contact Group</w:t>
      </w:r>
    </w:p>
    <w:p w:rsidR="00A8117B" w:rsidRDefault="00347F8C" w:rsidP="005244E7">
      <w:pPr>
        <w:pStyle w:val="Heading2"/>
      </w:pPr>
      <w:r>
        <w:t xml:space="preserve">DRAFT Notes </w:t>
      </w:r>
      <w:r w:rsidR="00A8117B">
        <w:t xml:space="preserve">from </w:t>
      </w:r>
      <w:r>
        <w:t xml:space="preserve">the </w:t>
      </w:r>
      <w:r w:rsidR="00A8117B">
        <w:t xml:space="preserve">meeting </w:t>
      </w:r>
      <w:r>
        <w:t>24 May</w:t>
      </w:r>
      <w:r w:rsidR="00A8117B">
        <w:t xml:space="preserve"> 2011, 11:00</w:t>
      </w:r>
      <w:r w:rsidR="00B80199" w:rsidRPr="00B80199">
        <w:rPr>
          <w:sz w:val="16"/>
        </w:rPr>
        <w:t> </w:t>
      </w:r>
      <w:r w:rsidR="00B80199">
        <w:t>–</w:t>
      </w:r>
      <w:r w:rsidR="00B80199" w:rsidRPr="00B80199">
        <w:rPr>
          <w:sz w:val="20"/>
        </w:rPr>
        <w:t> </w:t>
      </w:r>
      <w:r w:rsidR="00A8117B">
        <w:t xml:space="preserve">13:00 at </w:t>
      </w:r>
      <w:r>
        <w:t>the FMB</w:t>
      </w:r>
    </w:p>
    <w:p w:rsidR="00F102C9" w:rsidRPr="00F102C9" w:rsidRDefault="00F102C9" w:rsidP="00F102C9"/>
    <w:tbl>
      <w:tblPr>
        <w:tblW w:w="8670" w:type="dxa"/>
        <w:jc w:val="center"/>
        <w:tblLook w:val="04A0" w:firstRow="1" w:lastRow="0" w:firstColumn="1" w:lastColumn="0" w:noHBand="0" w:noVBand="1"/>
      </w:tblPr>
      <w:tblGrid>
        <w:gridCol w:w="479"/>
        <w:gridCol w:w="4183"/>
        <w:gridCol w:w="941"/>
        <w:gridCol w:w="1239"/>
        <w:gridCol w:w="678"/>
        <w:gridCol w:w="1150"/>
      </w:tblGrid>
      <w:tr w:rsidR="00AE71B8" w:rsidRPr="0040087C" w:rsidTr="00AE71B8">
        <w:trPr>
          <w:jc w:val="center"/>
        </w:trPr>
        <w:tc>
          <w:tcPr>
            <w:tcW w:w="6842" w:type="dxa"/>
            <w:gridSpan w:val="4"/>
            <w:tcBorders>
              <w:bottom w:val="single" w:sz="2" w:space="0" w:color="auto"/>
            </w:tcBorders>
            <w:vAlign w:val="center"/>
          </w:tcPr>
          <w:p w:rsidR="00AE71B8" w:rsidRPr="0040087C" w:rsidRDefault="00AE71B8" w:rsidP="00B80199">
            <w:pPr>
              <w:rPr>
                <w:rFonts w:cs="Calibri"/>
                <w:b/>
                <w:sz w:val="22"/>
                <w:szCs w:val="22"/>
              </w:rPr>
            </w:pPr>
            <w:r w:rsidRPr="0040087C">
              <w:rPr>
                <w:rFonts w:cs="Calibri"/>
                <w:b/>
                <w:sz w:val="24"/>
                <w:szCs w:val="22"/>
              </w:rPr>
              <w:t>Attending</w:t>
            </w:r>
          </w:p>
        </w:tc>
        <w:tc>
          <w:tcPr>
            <w:tcW w:w="678" w:type="dxa"/>
          </w:tcPr>
          <w:p w:rsidR="00AE71B8" w:rsidRPr="0040087C" w:rsidRDefault="00AE71B8" w:rsidP="00BE16E3">
            <w:pPr>
              <w:rPr>
                <w:rFonts w:cs="Calibri"/>
                <w:b/>
                <w:sz w:val="22"/>
                <w:szCs w:val="22"/>
              </w:rPr>
            </w:pPr>
          </w:p>
        </w:tc>
        <w:tc>
          <w:tcPr>
            <w:tcW w:w="1150" w:type="dxa"/>
            <w:vAlign w:val="center"/>
          </w:tcPr>
          <w:p w:rsidR="00AE71B8" w:rsidRPr="0040087C" w:rsidRDefault="00AE71B8" w:rsidP="00BE16E3">
            <w:pPr>
              <w:rPr>
                <w:rFonts w:cs="Calibri"/>
                <w:b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BEAMA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Kelly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Butler 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C45269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KB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CHPA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8C7E7C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Ian 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Manders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C45269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IM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Consumer Focus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Liz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proofErr w:type="spellStart"/>
            <w:r w:rsidRPr="0040087C">
              <w:rPr>
                <w:rFonts w:cs="Calibri"/>
                <w:sz w:val="22"/>
                <w:szCs w:val="22"/>
              </w:rPr>
              <w:t>Laine</w:t>
            </w:r>
            <w:proofErr w:type="spellEnd"/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Default="00627C00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LL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dialling in</w:t>
            </w: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DECC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Daljit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Supria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AE71B8" w:rsidP="00627C00">
            <w:pPr>
              <w:jc w:val="center"/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DSu</w:t>
            </w:r>
            <w:proofErr w:type="spellEnd"/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DECC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Paul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Rochester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C45269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EEPH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Mark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Brown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627C00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MB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EEPH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Mathias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Hessler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5A31D8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MH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Ground Source Heat Pump Association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David 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Matthews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627C00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DM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9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HETAS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Bruce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Allen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6E0526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BA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10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HHIC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Chris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Yates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627C00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CY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11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MCS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Gideon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Richards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5A31D8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GR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627C00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13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National Skills Academy for Environmental Technologies (presenting)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30768E">
            <w:pPr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Cathryn</w:t>
            </w:r>
            <w:proofErr w:type="spellEnd"/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30768E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Hickey</w:t>
            </w:r>
          </w:p>
        </w:tc>
        <w:tc>
          <w:tcPr>
            <w:tcW w:w="678" w:type="dxa"/>
            <w:tcBorders>
              <w:top w:val="nil"/>
              <w:right w:val="single" w:sz="2" w:space="0" w:color="auto"/>
            </w:tcBorders>
            <w:vAlign w:val="center"/>
          </w:tcPr>
          <w:p w:rsidR="00AE71B8" w:rsidRPr="0040087C" w:rsidRDefault="00627C00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CH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347F8C" w:rsidTr="00627C00">
        <w:trPr>
          <w:jc w:val="center"/>
        </w:trPr>
        <w:tc>
          <w:tcPr>
            <w:tcW w:w="479" w:type="dxa"/>
            <w:tcBorders>
              <w:left w:val="nil"/>
              <w:bottom w:val="nil"/>
              <w:right w:val="single" w:sz="2" w:space="0" w:color="auto"/>
            </w:tcBorders>
            <w:vAlign w:val="center"/>
          </w:tcPr>
          <w:p w:rsidR="00AE71B8" w:rsidRPr="0040087C" w:rsidRDefault="00AE71B8" w:rsidP="00D8354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14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REAL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30768E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Victoria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30768E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Graham</w:t>
            </w:r>
          </w:p>
        </w:tc>
        <w:tc>
          <w:tcPr>
            <w:tcW w:w="678" w:type="dxa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AE71B8" w:rsidRPr="0040087C" w:rsidRDefault="00AE71B8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VG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71B8" w:rsidRPr="0040087C" w:rsidRDefault="00AE71B8" w:rsidP="00347F8C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E71B8" w:rsidRPr="00347F8C" w:rsidTr="00627C00">
        <w:trPr>
          <w:jc w:val="center"/>
        </w:trPr>
        <w:tc>
          <w:tcPr>
            <w:tcW w:w="479" w:type="dxa"/>
            <w:tcBorders>
              <w:left w:val="nil"/>
              <w:bottom w:val="nil"/>
              <w:right w:val="single" w:sz="2" w:space="0" w:color="auto"/>
            </w:tcBorders>
            <w:vAlign w:val="center"/>
          </w:tcPr>
          <w:p w:rsidR="00AE71B8" w:rsidRPr="0040087C" w:rsidRDefault="00AE71B8" w:rsidP="00D8354A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15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SummitSkills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30768E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Nigel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30768E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Hollett </w:t>
            </w:r>
          </w:p>
        </w:tc>
        <w:tc>
          <w:tcPr>
            <w:tcW w:w="678" w:type="dxa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AE71B8" w:rsidRPr="0040087C" w:rsidRDefault="00627C00" w:rsidP="00627C00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NH</w:t>
            </w:r>
          </w:p>
        </w:tc>
        <w:tc>
          <w:tcPr>
            <w:tcW w:w="11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E71B8" w:rsidRPr="0040087C" w:rsidRDefault="00AE71B8" w:rsidP="00347F8C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AE71B8">
        <w:trPr>
          <w:trHeight w:hRule="exact" w:val="170"/>
          <w:jc w:val="center"/>
        </w:trPr>
        <w:tc>
          <w:tcPr>
            <w:tcW w:w="479" w:type="dxa"/>
            <w:tcBorders>
              <w:left w:val="nil"/>
              <w:bottom w:val="nil"/>
              <w:right w:val="nil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41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23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66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40087C">
              <w:rPr>
                <w:rFonts w:cs="Calibri"/>
                <w:b/>
                <w:bCs/>
                <w:sz w:val="22"/>
                <w:szCs w:val="22"/>
              </w:rPr>
              <w:t>Apologies</w:t>
            </w: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right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British Photovoltaic Association (BPVA)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Reza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Default="00AE71B8" w:rsidP="00BE16E3">
            <w:pPr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Shaybani</w:t>
            </w:r>
            <w:proofErr w:type="spellEnd"/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DECC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David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Wagstaff</w:t>
            </w:r>
            <w:proofErr w:type="spellEnd"/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CIPHE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proofErr w:type="spellStart"/>
            <w:r w:rsidRPr="0040087C">
              <w:rPr>
                <w:rFonts w:cs="Calibri"/>
                <w:sz w:val="22"/>
                <w:szCs w:val="22"/>
              </w:rPr>
              <w:t>Blane</w:t>
            </w:r>
            <w:proofErr w:type="spellEnd"/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Judd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HHIC 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Roger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D8354A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Webb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8E65FF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8E65FF" w:rsidRDefault="008E65FF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E65FF" w:rsidRDefault="008E65FF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NHBC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8E65FF" w:rsidRDefault="008E65FF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Neil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8E65FF" w:rsidRDefault="008E65FF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Smith</w:t>
            </w:r>
          </w:p>
        </w:tc>
        <w:tc>
          <w:tcPr>
            <w:tcW w:w="678" w:type="dxa"/>
            <w:tcBorders>
              <w:top w:val="nil"/>
            </w:tcBorders>
          </w:tcPr>
          <w:p w:rsidR="008E65FF" w:rsidRPr="0040087C" w:rsidRDefault="008E65FF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8E65FF" w:rsidRPr="0040087C" w:rsidRDefault="008E65FF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Default="008E65FF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Micropower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Council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Dave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Sowden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8E65FF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REA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Stuart 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proofErr w:type="spellStart"/>
            <w:r w:rsidRPr="0040087C">
              <w:rPr>
                <w:rFonts w:cs="Calibri"/>
                <w:sz w:val="22"/>
                <w:szCs w:val="22"/>
              </w:rPr>
              <w:t>Pocock</w:t>
            </w:r>
            <w:proofErr w:type="spellEnd"/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8E65FF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UKBCSE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Amisha</w:t>
            </w:r>
            <w:proofErr w:type="spellEnd"/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Patel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AE71B8">
        <w:trPr>
          <w:trHeight w:hRule="exact" w:val="170"/>
          <w:jc w:val="center"/>
        </w:trPr>
        <w:tc>
          <w:tcPr>
            <w:tcW w:w="479" w:type="dxa"/>
            <w:tcBorders>
              <w:left w:val="nil"/>
              <w:bottom w:val="nil"/>
              <w:right w:val="nil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418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66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40087C">
              <w:rPr>
                <w:rFonts w:cs="Calibri"/>
                <w:b/>
                <w:bCs/>
                <w:sz w:val="22"/>
                <w:szCs w:val="22"/>
              </w:rPr>
              <w:t>Did not attend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DECC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Alison 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Bailey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DECC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Dipak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Shah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LGA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Abigail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Burridge 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STA 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Alan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Aldridge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  <w:tr w:rsidR="00AE71B8" w:rsidRPr="0040087C" w:rsidTr="00170E01">
        <w:trPr>
          <w:jc w:val="center"/>
        </w:trPr>
        <w:tc>
          <w:tcPr>
            <w:tcW w:w="479" w:type="dxa"/>
            <w:tcBorders>
              <w:right w:val="single" w:sz="2" w:space="0" w:color="auto"/>
            </w:tcBorders>
            <w:vAlign w:val="center"/>
          </w:tcPr>
          <w:p w:rsidR="00AE71B8" w:rsidRPr="0040087C" w:rsidRDefault="00AE71B8" w:rsidP="00060D0E">
            <w:pPr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4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 xml:space="preserve">STA </w:t>
            </w:r>
          </w:p>
        </w:tc>
        <w:tc>
          <w:tcPr>
            <w:tcW w:w="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Howard</w:t>
            </w:r>
          </w:p>
        </w:tc>
        <w:tc>
          <w:tcPr>
            <w:tcW w:w="123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  <w:r w:rsidRPr="0040087C">
              <w:rPr>
                <w:rFonts w:cs="Calibri"/>
                <w:sz w:val="22"/>
                <w:szCs w:val="22"/>
              </w:rPr>
              <w:t>Johns</w:t>
            </w:r>
          </w:p>
        </w:tc>
        <w:tc>
          <w:tcPr>
            <w:tcW w:w="678" w:type="dxa"/>
            <w:tcBorders>
              <w:top w:val="nil"/>
            </w:tcBorders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</w:tcBorders>
            <w:vAlign w:val="center"/>
          </w:tcPr>
          <w:p w:rsidR="00AE71B8" w:rsidRPr="0040087C" w:rsidRDefault="00AE71B8" w:rsidP="00BE16E3">
            <w:pPr>
              <w:rPr>
                <w:rFonts w:cs="Calibri"/>
                <w:sz w:val="22"/>
                <w:szCs w:val="22"/>
              </w:rPr>
            </w:pPr>
          </w:p>
        </w:tc>
      </w:tr>
    </w:tbl>
    <w:p w:rsidR="00A8117B" w:rsidRDefault="00A8117B" w:rsidP="005244E7"/>
    <w:p w:rsidR="00F102C9" w:rsidRDefault="00F102C9" w:rsidP="005244E7"/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9299"/>
      </w:tblGrid>
      <w:tr w:rsidR="00A8117B" w:rsidRPr="00EC38C9" w:rsidTr="00627C00">
        <w:trPr>
          <w:jc w:val="center"/>
        </w:trPr>
        <w:tc>
          <w:tcPr>
            <w:tcW w:w="9299" w:type="dxa"/>
            <w:shd w:val="clear" w:color="auto" w:fill="E6E6E6"/>
            <w:vAlign w:val="center"/>
          </w:tcPr>
          <w:p w:rsidR="00A8117B" w:rsidRPr="00EC38C9" w:rsidRDefault="006F12B7" w:rsidP="006F12B7">
            <w:pPr>
              <w:pStyle w:val="ListNumber"/>
              <w:numPr>
                <w:ilvl w:val="0"/>
                <w:numId w:val="21"/>
              </w:numPr>
            </w:pPr>
            <w:r>
              <w:t>Notes from last meeting</w:t>
            </w:r>
          </w:p>
        </w:tc>
      </w:tr>
      <w:tr w:rsidR="00A8117B" w:rsidRPr="00EC38C9" w:rsidTr="00627C00">
        <w:trPr>
          <w:jc w:val="center"/>
        </w:trPr>
        <w:tc>
          <w:tcPr>
            <w:tcW w:w="9299" w:type="dxa"/>
          </w:tcPr>
          <w:p w:rsidR="00A8117B" w:rsidRDefault="006F12B7" w:rsidP="006F12B7">
            <w:pPr>
              <w:pStyle w:val="ListBullet3"/>
              <w:numPr>
                <w:ilvl w:val="0"/>
                <w:numId w:val="18"/>
              </w:numPr>
            </w:pPr>
            <w:r>
              <w:t xml:space="preserve">One change was suggested to the notes of the 8 April meeting – </w:t>
            </w:r>
            <w:r w:rsidRPr="006F12B7">
              <w:rPr>
                <w:b/>
              </w:rPr>
              <w:t>Action</w:t>
            </w:r>
            <w:r>
              <w:rPr>
                <w:b/>
              </w:rPr>
              <w:t>:</w:t>
            </w:r>
            <w:r w:rsidRPr="006F12B7">
              <w:rPr>
                <w:b/>
              </w:rPr>
              <w:t xml:space="preserve"> EEPH</w:t>
            </w:r>
            <w:r>
              <w:t xml:space="preserve"> to amend: </w:t>
            </w:r>
          </w:p>
          <w:p w:rsidR="006F12B7" w:rsidRDefault="006F12B7" w:rsidP="005A31D8">
            <w:pPr>
              <w:pStyle w:val="ListBullet4"/>
            </w:pPr>
            <w:r>
              <w:t xml:space="preserve">The way to encourage installation of appropriate storage (or other provision) is </w:t>
            </w:r>
            <w:r w:rsidR="005A31D8">
              <w:br/>
            </w:r>
            <w:r>
              <w:t xml:space="preserve">to incentivise the technology and at the same time ensuring (through MCS </w:t>
            </w:r>
            <w:r w:rsidRPr="006F12B7">
              <w:rPr>
                <w:i/>
                <w:u w:val="single"/>
              </w:rPr>
              <w:t>and competent person schemes</w:t>
            </w:r>
            <w:r>
              <w:t xml:space="preserve">) that it will work properly, hence requiring a buffer. </w:t>
            </w:r>
          </w:p>
          <w:p w:rsidR="005A31D8" w:rsidRPr="00EC38C9" w:rsidRDefault="008E65FF" w:rsidP="005A31D8">
            <w:pPr>
              <w:pStyle w:val="ListBullet3"/>
              <w:tabs>
                <w:tab w:val="clear" w:pos="926"/>
              </w:tabs>
            </w:pPr>
            <w:r w:rsidRPr="008E65FF">
              <w:rPr>
                <w:i/>
              </w:rPr>
              <w:t>(</w:t>
            </w:r>
            <w:r w:rsidR="005A31D8" w:rsidRPr="008E65FF">
              <w:rPr>
                <w:i/>
              </w:rPr>
              <w:t>done</w:t>
            </w:r>
            <w:r w:rsidRPr="008E65FF">
              <w:rPr>
                <w:i/>
              </w:rPr>
              <w:t>)</w:t>
            </w:r>
            <w:r>
              <w:t>,</w:t>
            </w:r>
            <w:r w:rsidR="005A31D8" w:rsidRPr="008E65FF">
              <w:t xml:space="preserve"> </w:t>
            </w:r>
            <w:r w:rsidR="005A31D8">
              <w:t>Final version on Huddle</w:t>
            </w:r>
          </w:p>
        </w:tc>
      </w:tr>
      <w:tr w:rsidR="00A8117B" w:rsidRPr="00EC38C9" w:rsidTr="00627C00">
        <w:trPr>
          <w:jc w:val="center"/>
        </w:trPr>
        <w:tc>
          <w:tcPr>
            <w:tcW w:w="9299" w:type="dxa"/>
            <w:shd w:val="clear" w:color="auto" w:fill="E6E6E6"/>
            <w:vAlign w:val="center"/>
          </w:tcPr>
          <w:p w:rsidR="00A8117B" w:rsidRPr="00EC38C9" w:rsidRDefault="006F12B7" w:rsidP="005F2803">
            <w:pPr>
              <w:pStyle w:val="ListNumber"/>
              <w:numPr>
                <w:ilvl w:val="0"/>
                <w:numId w:val="21"/>
              </w:numPr>
            </w:pPr>
            <w:r>
              <w:t>Update from Paul Rochester on Strategy timelines</w:t>
            </w:r>
          </w:p>
        </w:tc>
      </w:tr>
      <w:tr w:rsidR="00A8117B" w:rsidRPr="00EC38C9" w:rsidTr="00627C00">
        <w:trPr>
          <w:jc w:val="center"/>
        </w:trPr>
        <w:tc>
          <w:tcPr>
            <w:tcW w:w="9299" w:type="dxa"/>
          </w:tcPr>
          <w:p w:rsidR="00D8354A" w:rsidRDefault="006F12B7" w:rsidP="00E361D6">
            <w:pPr>
              <w:pStyle w:val="ListBullet3"/>
              <w:numPr>
                <w:ilvl w:val="0"/>
                <w:numId w:val="18"/>
              </w:numPr>
            </w:pPr>
            <w:r>
              <w:t xml:space="preserve">A first draft of the Strategy is expected </w:t>
            </w:r>
            <w:r w:rsidR="00D8354A">
              <w:t xml:space="preserve">by end of </w:t>
            </w:r>
            <w:r>
              <w:t>this week</w:t>
            </w:r>
            <w:r w:rsidR="00D8354A">
              <w:t xml:space="preserve">. </w:t>
            </w:r>
          </w:p>
          <w:p w:rsidR="00D8354A" w:rsidRDefault="00D8354A" w:rsidP="00E361D6">
            <w:pPr>
              <w:pStyle w:val="ListBullet3"/>
              <w:numPr>
                <w:ilvl w:val="0"/>
                <w:numId w:val="18"/>
              </w:numPr>
            </w:pPr>
            <w:r>
              <w:t xml:space="preserve">The detailed </w:t>
            </w:r>
            <w:proofErr w:type="spellStart"/>
            <w:r>
              <w:t>workplans</w:t>
            </w:r>
            <w:proofErr w:type="spellEnd"/>
            <w:r>
              <w:t xml:space="preserve"> will become an appendix to the Strategy. </w:t>
            </w:r>
          </w:p>
          <w:p w:rsidR="00A8117B" w:rsidRPr="00EC38C9" w:rsidRDefault="00D8354A" w:rsidP="00D8354A">
            <w:pPr>
              <w:pStyle w:val="ListBullet3"/>
              <w:numPr>
                <w:ilvl w:val="0"/>
                <w:numId w:val="18"/>
              </w:numPr>
            </w:pPr>
            <w:r>
              <w:t xml:space="preserve">The </w:t>
            </w:r>
            <w:proofErr w:type="spellStart"/>
            <w:r>
              <w:t>workplans</w:t>
            </w:r>
            <w:proofErr w:type="spellEnd"/>
            <w:r>
              <w:t xml:space="preserve"> will form an important and integral part of the Strategy, and will be the key </w:t>
            </w:r>
            <w:r>
              <w:lastRenderedPageBreak/>
              <w:t xml:space="preserve">instrument for its delivery. </w:t>
            </w:r>
          </w:p>
        </w:tc>
      </w:tr>
      <w:tr w:rsidR="00A8117B" w:rsidRPr="00EC38C9" w:rsidTr="00627C00">
        <w:trPr>
          <w:jc w:val="center"/>
        </w:trPr>
        <w:tc>
          <w:tcPr>
            <w:tcW w:w="9299" w:type="dxa"/>
            <w:shd w:val="clear" w:color="auto" w:fill="E6E6E6"/>
            <w:vAlign w:val="center"/>
          </w:tcPr>
          <w:p w:rsidR="00A8117B" w:rsidRDefault="00D8354A" w:rsidP="00D8354A">
            <w:pPr>
              <w:pStyle w:val="ListNumber"/>
              <w:numPr>
                <w:ilvl w:val="0"/>
                <w:numId w:val="21"/>
              </w:numPr>
            </w:pPr>
            <w:r>
              <w:lastRenderedPageBreak/>
              <w:t xml:space="preserve">Discussion of draft </w:t>
            </w:r>
            <w:proofErr w:type="spellStart"/>
            <w:r>
              <w:t>workplans</w:t>
            </w:r>
            <w:proofErr w:type="spellEnd"/>
          </w:p>
        </w:tc>
      </w:tr>
      <w:tr w:rsidR="00A8117B" w:rsidRPr="00EC38C9" w:rsidTr="00627C00">
        <w:trPr>
          <w:jc w:val="center"/>
        </w:trPr>
        <w:tc>
          <w:tcPr>
            <w:tcW w:w="9299" w:type="dxa"/>
          </w:tcPr>
          <w:p w:rsidR="00A8117B" w:rsidRDefault="00D8354A" w:rsidP="004A10EF">
            <w:pPr>
              <w:pStyle w:val="Heading4"/>
            </w:pPr>
            <w:r>
              <w:t>MCS – Gideon Richards</w:t>
            </w:r>
          </w:p>
          <w:p w:rsidR="000020C1" w:rsidRDefault="000020C1" w:rsidP="001F4269">
            <w:pPr>
              <w:pStyle w:val="ListBullet3"/>
              <w:numPr>
                <w:ilvl w:val="0"/>
                <w:numId w:val="18"/>
              </w:numPr>
            </w:pPr>
            <w:r>
              <w:t xml:space="preserve">To take account of the work already </w:t>
            </w:r>
            <w:proofErr w:type="spellStart"/>
            <w:r>
              <w:t>ongoing</w:t>
            </w:r>
            <w:proofErr w:type="spellEnd"/>
            <w:r>
              <w:t xml:space="preserve"> on the MCS scheme, an extra column was added under outcomes, separating the existing outcomes (in train) from the new ones occurring as part of the delivery of the Strategy. </w:t>
            </w:r>
          </w:p>
          <w:p w:rsidR="000020C1" w:rsidRDefault="000020C1" w:rsidP="001F4269">
            <w:pPr>
              <w:pStyle w:val="ListBullet3"/>
              <w:numPr>
                <w:ilvl w:val="0"/>
                <w:numId w:val="18"/>
              </w:numPr>
            </w:pPr>
            <w:proofErr w:type="spellStart"/>
            <w:r>
              <w:t>Workstream</w:t>
            </w:r>
            <w:proofErr w:type="spellEnd"/>
            <w:r>
              <w:t xml:space="preserve"> 1: DECC involvement is to be confirmed, and the timing also depends on DECC</w:t>
            </w:r>
          </w:p>
          <w:p w:rsidR="000020C1" w:rsidRDefault="004938C4" w:rsidP="001F4269">
            <w:pPr>
              <w:pStyle w:val="ListBullet3"/>
              <w:numPr>
                <w:ilvl w:val="0"/>
                <w:numId w:val="18"/>
              </w:numPr>
            </w:pPr>
            <w:proofErr w:type="spellStart"/>
            <w:r>
              <w:t>Workstream</w:t>
            </w:r>
            <w:proofErr w:type="spellEnd"/>
            <w:r>
              <w:t xml:space="preserve"> 5</w:t>
            </w:r>
            <w:r w:rsidR="000020C1">
              <w:t>: aims to specify how to certify &gt;45kW installations, and how this would fit with RHI/</w:t>
            </w:r>
            <w:proofErr w:type="spellStart"/>
            <w:r w:rsidR="000020C1">
              <w:t>FiTs</w:t>
            </w:r>
            <w:proofErr w:type="spellEnd"/>
          </w:p>
          <w:p w:rsidR="00A8117B" w:rsidRDefault="004938C4" w:rsidP="004938C4">
            <w:pPr>
              <w:pStyle w:val="ListBullet3"/>
              <w:numPr>
                <w:ilvl w:val="0"/>
                <w:numId w:val="18"/>
              </w:numPr>
            </w:pPr>
            <w:proofErr w:type="spellStart"/>
            <w:r>
              <w:t>Workstream</w:t>
            </w:r>
            <w:proofErr w:type="spellEnd"/>
            <w:r>
              <w:t xml:space="preserve"> 7: The relevant NOSs will be referenced in an annex to the MCS scheme documentation. A staged approach is required for implementing qualifications, training and minimum competency requirements, starting with H&amp;S, then implementing minimum competencies for specific technologies. </w:t>
            </w:r>
          </w:p>
          <w:p w:rsidR="004938C4" w:rsidRDefault="004938C4" w:rsidP="00F63F0B">
            <w:pPr>
              <w:pStyle w:val="ListBullet3"/>
              <w:numPr>
                <w:ilvl w:val="0"/>
                <w:numId w:val="18"/>
              </w:numPr>
            </w:pPr>
            <w:proofErr w:type="spellStart"/>
            <w:r>
              <w:t>Workstream</w:t>
            </w:r>
            <w:proofErr w:type="spellEnd"/>
            <w:r>
              <w:t xml:space="preserve"> 8: Joining up with </w:t>
            </w:r>
            <w:r w:rsidR="00AE71B8">
              <w:t xml:space="preserve">the Green Deal installer PAS (entitled PAS 2030 – </w:t>
            </w:r>
            <w:r w:rsidR="00AE71B8" w:rsidRPr="00AE71B8">
              <w:rPr>
                <w:i/>
              </w:rPr>
              <w:t>Improving the energy efficiency of existing buildings – Specification for installation procedures, process management and service provision</w:t>
            </w:r>
            <w:r w:rsidR="00AE71B8">
              <w:t xml:space="preserve">) </w:t>
            </w:r>
            <w:r>
              <w:t xml:space="preserve">is a </w:t>
            </w:r>
            <w:r w:rsidR="00AE71B8">
              <w:t>matter of great concern</w:t>
            </w:r>
            <w:r w:rsidR="009801FF">
              <w:t>, particularly as a PAS cannot reference a certification scheme such as MCS</w:t>
            </w:r>
            <w:r w:rsidR="00AE71B8">
              <w:t xml:space="preserve">. </w:t>
            </w:r>
            <w:r w:rsidR="009801FF">
              <w:t xml:space="preserve">VG mentioned that for the </w:t>
            </w:r>
            <w:proofErr w:type="spellStart"/>
            <w:r w:rsidR="009801FF">
              <w:t>biofertiliser</w:t>
            </w:r>
            <w:proofErr w:type="spellEnd"/>
            <w:r w:rsidR="009801FF">
              <w:t xml:space="preserve"> certification scheme, there was a PAS (PAS 110) plus a quality protocol (ADQP). While the PAS itself cannot reference a certification scheme (like MCS in the case of PAS 2030), a quality protocol could. </w:t>
            </w:r>
            <w:r w:rsidR="00AE71B8">
              <w:t xml:space="preserve">PASs can develop quickly in theory but past experience (e.g. PAS 67) has shown that it can also be drawn out and very contentious. </w:t>
            </w:r>
            <w:r w:rsidR="009801FF">
              <w:t>CY remarked that a backup plan was needed in case PAS 2030 is not ready in time.</w:t>
            </w:r>
            <w:r w:rsidR="00F63F0B">
              <w:t xml:space="preserve"> DM mentioned that the competency advisory group also needs to feed into it.</w:t>
            </w:r>
            <w:r w:rsidR="009801FF">
              <w:t xml:space="preserve"> </w:t>
            </w:r>
            <w:r w:rsidR="009801FF" w:rsidRPr="009801FF">
              <w:rPr>
                <w:b/>
              </w:rPr>
              <w:t>Action all</w:t>
            </w:r>
            <w:r w:rsidR="009801FF">
              <w:t xml:space="preserve"> to continue this discussion on Huddle, </w:t>
            </w:r>
            <w:r w:rsidR="009801FF" w:rsidRPr="009801FF">
              <w:rPr>
                <w:b/>
              </w:rPr>
              <w:t>EEPH</w:t>
            </w:r>
            <w:r w:rsidR="009801FF">
              <w:t xml:space="preserve"> to kick off</w:t>
            </w:r>
            <w:r w:rsidR="008E65FF">
              <w:t xml:space="preserve"> </w:t>
            </w:r>
            <w:r w:rsidR="008E65FF" w:rsidRPr="008E65FF">
              <w:rPr>
                <w:i/>
              </w:rPr>
              <w:t>(done)</w:t>
            </w:r>
            <w:r w:rsidR="00F83685">
              <w:t>.</w:t>
            </w:r>
          </w:p>
          <w:p w:rsidR="004A7864" w:rsidRDefault="004A7864" w:rsidP="004A10EF">
            <w:pPr>
              <w:pStyle w:val="Heading4"/>
            </w:pPr>
            <w:r>
              <w:t>EPCs – (Dave Sowden)</w:t>
            </w:r>
          </w:p>
          <w:p w:rsidR="004A7864" w:rsidRDefault="004A7864" w:rsidP="00F63F0B">
            <w:pPr>
              <w:pStyle w:val="ListBullet3"/>
              <w:numPr>
                <w:ilvl w:val="0"/>
                <w:numId w:val="18"/>
              </w:numPr>
            </w:pPr>
            <w:r>
              <w:t xml:space="preserve">Dave Sowden was unable to attend the meeting. </w:t>
            </w:r>
          </w:p>
          <w:p w:rsidR="004A7864" w:rsidRDefault="004A7864" w:rsidP="004A7864">
            <w:pPr>
              <w:pStyle w:val="ListBullet3"/>
              <w:numPr>
                <w:ilvl w:val="0"/>
                <w:numId w:val="18"/>
              </w:numPr>
            </w:pPr>
            <w:r>
              <w:t xml:space="preserve">Regarding </w:t>
            </w:r>
            <w:proofErr w:type="spellStart"/>
            <w:r>
              <w:t>workstream</w:t>
            </w:r>
            <w:proofErr w:type="spellEnd"/>
            <w:r>
              <w:t xml:space="preserve"> 3, the point was made that a cross-industry group on </w:t>
            </w:r>
            <w:proofErr w:type="spellStart"/>
            <w:r>
              <w:t>Ecodesign</w:t>
            </w:r>
            <w:proofErr w:type="spellEnd"/>
            <w:r>
              <w:t xml:space="preserve"> is picking this up</w:t>
            </w:r>
            <w:r w:rsidR="00F83685">
              <w:t>.</w:t>
            </w:r>
          </w:p>
          <w:p w:rsidR="006366A6" w:rsidRDefault="006366A6" w:rsidP="004A10EF">
            <w:pPr>
              <w:pStyle w:val="Heading4"/>
            </w:pPr>
            <w:r>
              <w:t>Skills and Knowledge</w:t>
            </w:r>
          </w:p>
          <w:p w:rsidR="006366A6" w:rsidRDefault="006366A6" w:rsidP="006366A6">
            <w:pPr>
              <w:pStyle w:val="ListBullet3"/>
              <w:numPr>
                <w:ilvl w:val="0"/>
                <w:numId w:val="18"/>
              </w:numPr>
            </w:pPr>
            <w:r>
              <w:t>Main aim to discern which available courses are good, which aren't</w:t>
            </w:r>
            <w:r w:rsidR="00F83685">
              <w:t>.</w:t>
            </w:r>
          </w:p>
          <w:p w:rsidR="002D62FE" w:rsidRDefault="002D62FE" w:rsidP="006366A6">
            <w:pPr>
              <w:pStyle w:val="ListBullet3"/>
              <w:numPr>
                <w:ilvl w:val="0"/>
                <w:numId w:val="18"/>
              </w:numPr>
            </w:pPr>
            <w:r>
              <w:t>MH mentioned the qualification matrix produced as part of the Partnership's Skills Project work</w:t>
            </w:r>
            <w:r w:rsidR="005A31D8">
              <w:t xml:space="preserve">, which could be useful. </w:t>
            </w:r>
            <w:r w:rsidR="005A31D8" w:rsidRPr="005A31D8">
              <w:rPr>
                <w:b/>
              </w:rPr>
              <w:t>Action</w:t>
            </w:r>
            <w:r w:rsidR="005A31D8">
              <w:rPr>
                <w:b/>
              </w:rPr>
              <w:t>:</w:t>
            </w:r>
            <w:r w:rsidR="005A31D8" w:rsidRPr="005A31D8">
              <w:rPr>
                <w:b/>
              </w:rPr>
              <w:t xml:space="preserve"> MH</w:t>
            </w:r>
            <w:r w:rsidR="005A31D8">
              <w:t xml:space="preserve"> to upload to Huddle </w:t>
            </w:r>
            <w:r w:rsidR="00F83685" w:rsidRPr="001C426B">
              <w:rPr>
                <w:i/>
              </w:rPr>
              <w:t>(</w:t>
            </w:r>
            <w:r w:rsidR="005A31D8" w:rsidRPr="001C426B">
              <w:rPr>
                <w:i/>
              </w:rPr>
              <w:t>done</w:t>
            </w:r>
            <w:r w:rsidR="00F83685">
              <w:rPr>
                <w:i/>
              </w:rPr>
              <w:t>)</w:t>
            </w:r>
            <w:r w:rsidR="004820D3">
              <w:rPr>
                <w:i/>
              </w:rPr>
              <w:t>.</w:t>
            </w:r>
          </w:p>
          <w:p w:rsidR="005A31D8" w:rsidRDefault="005A31D8" w:rsidP="006366A6">
            <w:pPr>
              <w:pStyle w:val="ListBullet3"/>
              <w:numPr>
                <w:ilvl w:val="0"/>
                <w:numId w:val="18"/>
              </w:numPr>
            </w:pPr>
            <w:r>
              <w:t xml:space="preserve">GR raised the question of the competencies of the individual </w:t>
            </w:r>
            <w:proofErr w:type="spellStart"/>
            <w:r>
              <w:t>vs</w:t>
            </w:r>
            <w:proofErr w:type="spellEnd"/>
            <w:r>
              <w:t xml:space="preserve"> the competencies of an organisation</w:t>
            </w:r>
          </w:p>
          <w:p w:rsidR="006E0526" w:rsidRDefault="005A31D8" w:rsidP="006366A6">
            <w:pPr>
              <w:pStyle w:val="ListBullet3"/>
              <w:numPr>
                <w:ilvl w:val="0"/>
                <w:numId w:val="18"/>
              </w:numPr>
            </w:pPr>
            <w:r>
              <w:t xml:space="preserve">PR responded that it is unrealistic to expect one individual installer to </w:t>
            </w:r>
            <w:r w:rsidR="006E0526">
              <w:t xml:space="preserve">be able to do all jobs competently. DCLG rely on building inspectors to assess the competency on site. </w:t>
            </w:r>
          </w:p>
          <w:p w:rsidR="005A31D8" w:rsidRDefault="006E0526" w:rsidP="006366A6">
            <w:pPr>
              <w:pStyle w:val="ListBullet3"/>
              <w:numPr>
                <w:ilvl w:val="0"/>
                <w:numId w:val="18"/>
              </w:numPr>
            </w:pPr>
            <w:r>
              <w:t xml:space="preserve">The competency framework is to include both training courses and assessments. </w:t>
            </w:r>
          </w:p>
          <w:p w:rsidR="006E0526" w:rsidRPr="006366A6" w:rsidRDefault="006E0526" w:rsidP="006366A6">
            <w:pPr>
              <w:pStyle w:val="ListBullet3"/>
              <w:numPr>
                <w:ilvl w:val="0"/>
                <w:numId w:val="18"/>
              </w:numPr>
            </w:pPr>
            <w:r>
              <w:t xml:space="preserve">BA raised the point that the competence of the </w:t>
            </w:r>
            <w:proofErr w:type="spellStart"/>
            <w:r>
              <w:t>specifier</w:t>
            </w:r>
            <w:proofErr w:type="spellEnd"/>
            <w:r>
              <w:t xml:space="preserve"> (designer) also needs to be looked at. </w:t>
            </w:r>
          </w:p>
          <w:p w:rsidR="006366A6" w:rsidRDefault="006366A6" w:rsidP="004A10EF">
            <w:pPr>
              <w:pStyle w:val="Heading4"/>
            </w:pPr>
            <w:r>
              <w:t>Warranties and Insurances – Kelly Butler</w:t>
            </w:r>
          </w:p>
          <w:p w:rsidR="006366A6" w:rsidRDefault="006366A6" w:rsidP="004A7864">
            <w:pPr>
              <w:pStyle w:val="ListBullet3"/>
              <w:numPr>
                <w:ilvl w:val="0"/>
                <w:numId w:val="18"/>
              </w:numPr>
            </w:pPr>
            <w:r>
              <w:t xml:space="preserve">Warranty, insurance and servicing are different and separate. </w:t>
            </w:r>
          </w:p>
          <w:p w:rsidR="006366A6" w:rsidRDefault="006366A6" w:rsidP="006366A6">
            <w:pPr>
              <w:pStyle w:val="ListBullet3"/>
              <w:numPr>
                <w:ilvl w:val="0"/>
                <w:numId w:val="18"/>
              </w:numPr>
            </w:pPr>
            <w:r>
              <w:t xml:space="preserve">Generally, there are three levels of protection: </w:t>
            </w:r>
          </w:p>
          <w:p w:rsidR="006366A6" w:rsidRDefault="006366A6" w:rsidP="006366A6">
            <w:pPr>
              <w:pStyle w:val="ListBullet4"/>
            </w:pPr>
            <w:r>
              <w:t xml:space="preserve">Manufacturers' </w:t>
            </w:r>
            <w:r w:rsidR="00F83685">
              <w:t>g</w:t>
            </w:r>
            <w:r>
              <w:t>uarantees (required under EU law)</w:t>
            </w:r>
          </w:p>
          <w:p w:rsidR="006366A6" w:rsidRDefault="000B7D32" w:rsidP="007E3C02">
            <w:pPr>
              <w:pStyle w:val="ListBullet4"/>
            </w:pPr>
            <w:r>
              <w:t xml:space="preserve">System </w:t>
            </w:r>
            <w:r w:rsidR="006366A6">
              <w:t xml:space="preserve">protection such as </w:t>
            </w:r>
            <w:r>
              <w:t xml:space="preserve">the </w:t>
            </w:r>
            <w:r w:rsidR="006366A6">
              <w:t xml:space="preserve">British Gas </w:t>
            </w:r>
            <w:r>
              <w:t>3*</w:t>
            </w:r>
            <w:r w:rsidR="006366A6">
              <w:t xml:space="preserve"> cover</w:t>
            </w:r>
            <w:r w:rsidR="007E3C02">
              <w:t>, which includes annual servicing</w:t>
            </w:r>
          </w:p>
          <w:p w:rsidR="007E3C02" w:rsidRDefault="007E3C02" w:rsidP="007E3C02">
            <w:pPr>
              <w:pStyle w:val="ListBullet4"/>
            </w:pPr>
            <w:r>
              <w:t xml:space="preserve">Schemes such as </w:t>
            </w:r>
            <w:proofErr w:type="spellStart"/>
            <w:r>
              <w:t>Plumbsure</w:t>
            </w:r>
            <w:proofErr w:type="spellEnd"/>
            <w:r w:rsidR="000B7D32">
              <w:t xml:space="preserve"> (offering a six-year cover)</w:t>
            </w:r>
            <w:r>
              <w:t>, REAL, CIGA/SWIGA</w:t>
            </w:r>
            <w:r w:rsidR="00F83685">
              <w:t>.</w:t>
            </w:r>
          </w:p>
          <w:p w:rsidR="000B7D32" w:rsidRDefault="002D62FE" w:rsidP="002D62FE">
            <w:pPr>
              <w:pStyle w:val="ListBullet3"/>
              <w:numPr>
                <w:ilvl w:val="0"/>
                <w:numId w:val="18"/>
              </w:numPr>
            </w:pPr>
            <w:r>
              <w:t>The checklist / overview should provide clarity on which protection is required by law (statutory), and which schemes are optional and go beyond legal requirements.</w:t>
            </w:r>
          </w:p>
          <w:p w:rsidR="002D62FE" w:rsidRDefault="002D62FE" w:rsidP="002D62FE">
            <w:pPr>
              <w:pStyle w:val="ListBullet3"/>
              <w:numPr>
                <w:ilvl w:val="0"/>
                <w:numId w:val="18"/>
              </w:numPr>
            </w:pPr>
            <w:r>
              <w:t xml:space="preserve">There is a great deal of confusion among consumers as to what their rights and their </w:t>
            </w:r>
            <w:r>
              <w:lastRenderedPageBreak/>
              <w:t xml:space="preserve">options are, so advice and guidance is urgently needed (linked to the overarching communication </w:t>
            </w:r>
            <w:proofErr w:type="spellStart"/>
            <w:r>
              <w:t>taskgroup</w:t>
            </w:r>
            <w:proofErr w:type="spellEnd"/>
            <w:r>
              <w:t>)</w:t>
            </w:r>
            <w:r w:rsidR="00F83685">
              <w:t>.</w:t>
            </w:r>
          </w:p>
          <w:p w:rsidR="00242967" w:rsidRDefault="00242967" w:rsidP="002D62FE">
            <w:pPr>
              <w:pStyle w:val="ListBullet3"/>
              <w:numPr>
                <w:ilvl w:val="0"/>
                <w:numId w:val="18"/>
              </w:numPr>
            </w:pPr>
            <w:r>
              <w:t>VG raised the question of what happened if the issuer of a warranty went out of business</w:t>
            </w:r>
            <w:r w:rsidR="00F83685">
              <w:t>.</w:t>
            </w:r>
          </w:p>
          <w:p w:rsidR="00242967" w:rsidRDefault="00242967" w:rsidP="002D62FE">
            <w:pPr>
              <w:pStyle w:val="ListBullet3"/>
              <w:numPr>
                <w:ilvl w:val="0"/>
                <w:numId w:val="18"/>
              </w:numPr>
            </w:pPr>
            <w:r>
              <w:t>DM mentioned a grey area where a manufacturer provides 15-20 years warranty, but the installer only gives 1-2 years on the installation.</w:t>
            </w:r>
            <w:r w:rsidR="00952727">
              <w:t xml:space="preserve"> </w:t>
            </w:r>
          </w:p>
          <w:p w:rsidR="00627C00" w:rsidRDefault="00627C00" w:rsidP="002D62FE">
            <w:pPr>
              <w:pStyle w:val="ListBullet3"/>
              <w:numPr>
                <w:ilvl w:val="0"/>
                <w:numId w:val="18"/>
              </w:numPr>
            </w:pPr>
            <w:r>
              <w:t xml:space="preserve">LL mentioned that regarding accreditation and warranties, allocation of responsibility will be important, particularly as several changes to a building are done at once (e.g. insulation and </w:t>
            </w:r>
            <w:proofErr w:type="spellStart"/>
            <w:r>
              <w:t>microgen</w:t>
            </w:r>
            <w:proofErr w:type="spellEnd"/>
            <w:r>
              <w:t xml:space="preserve">). The question is how the various schemes align and what happens if something goes wrong. </w:t>
            </w:r>
          </w:p>
          <w:p w:rsidR="00570C67" w:rsidRDefault="00570C67" w:rsidP="002D62FE">
            <w:pPr>
              <w:pStyle w:val="ListBullet3"/>
              <w:numPr>
                <w:ilvl w:val="0"/>
                <w:numId w:val="18"/>
              </w:numPr>
            </w:pPr>
            <w:r>
              <w:t xml:space="preserve">PR replied that the DECC insight team is working on the consumer journey and considering information and advice, with Energy Saving Trust research and potentially this group feeding in. </w:t>
            </w:r>
          </w:p>
          <w:p w:rsidR="00242967" w:rsidRDefault="00242967" w:rsidP="004A10EF">
            <w:pPr>
              <w:pStyle w:val="Heading4"/>
            </w:pPr>
            <w:r w:rsidRPr="004A10EF">
              <w:t>Technology</w:t>
            </w:r>
            <w:r>
              <w:t xml:space="preserve"> – Paul Rochester</w:t>
            </w:r>
          </w:p>
          <w:p w:rsidR="00242967" w:rsidRDefault="00242967" w:rsidP="002D62FE">
            <w:pPr>
              <w:pStyle w:val="ListBullet3"/>
              <w:numPr>
                <w:ilvl w:val="0"/>
                <w:numId w:val="18"/>
              </w:numPr>
            </w:pPr>
            <w:r>
              <w:t xml:space="preserve">The technology </w:t>
            </w:r>
            <w:proofErr w:type="spellStart"/>
            <w:r>
              <w:t>routemaps</w:t>
            </w:r>
            <w:proofErr w:type="spellEnd"/>
            <w:r>
              <w:t xml:space="preserve"> depend on the type of equipment and key components (e.g. inverters for solar PV)</w:t>
            </w:r>
            <w:r w:rsidR="00153D4E">
              <w:t>.</w:t>
            </w:r>
          </w:p>
          <w:p w:rsidR="00C45269" w:rsidRDefault="00952727" w:rsidP="00C45269">
            <w:pPr>
              <w:pStyle w:val="ListBullet3"/>
              <w:numPr>
                <w:ilvl w:val="0"/>
                <w:numId w:val="18"/>
              </w:numPr>
            </w:pPr>
            <w:r>
              <w:t xml:space="preserve">IM raised the point that district heating is </w:t>
            </w:r>
            <w:r w:rsidR="00C45269">
              <w:t>a provision of a service, not a piece of kit, and asked whether energy services were considered within Green Deal, as the contractual arrangements are very different</w:t>
            </w:r>
            <w:r w:rsidR="00153D4E">
              <w:t>.</w:t>
            </w:r>
          </w:p>
          <w:p w:rsidR="00952727" w:rsidRDefault="00C45269" w:rsidP="00C45269">
            <w:pPr>
              <w:pStyle w:val="ListBullet3"/>
              <w:numPr>
                <w:ilvl w:val="0"/>
                <w:numId w:val="18"/>
              </w:numPr>
            </w:pPr>
            <w:r>
              <w:t xml:space="preserve">Patrick </w:t>
            </w:r>
            <w:proofErr w:type="spellStart"/>
            <w:r>
              <w:t>Allcorn</w:t>
            </w:r>
            <w:proofErr w:type="spellEnd"/>
            <w:r>
              <w:t xml:space="preserve"> is drafting the community chapter – </w:t>
            </w:r>
            <w:r w:rsidRPr="00C45269">
              <w:rPr>
                <w:b/>
              </w:rPr>
              <w:t>Action: PR</w:t>
            </w:r>
            <w:r>
              <w:t xml:space="preserve"> to put him in touch with IM </w:t>
            </w:r>
          </w:p>
          <w:p w:rsidR="00570C67" w:rsidRDefault="00834C2C" w:rsidP="00C45269">
            <w:pPr>
              <w:pStyle w:val="ListBullet3"/>
              <w:numPr>
                <w:ilvl w:val="0"/>
                <w:numId w:val="18"/>
              </w:numPr>
            </w:pPr>
            <w:r w:rsidRPr="00834C2C">
              <w:rPr>
                <w:b/>
              </w:rPr>
              <w:t xml:space="preserve">Action: </w:t>
            </w:r>
            <w:r w:rsidR="00570C67" w:rsidRPr="00834C2C">
              <w:rPr>
                <w:b/>
              </w:rPr>
              <w:t>LL</w:t>
            </w:r>
            <w:r w:rsidR="00570C67">
              <w:t xml:space="preserve"> to send link </w:t>
            </w:r>
            <w:r>
              <w:t>to BIS' "consumer empowerment strategy" around on Huddle (containing a section on collective purchasing)</w:t>
            </w:r>
            <w:r w:rsidRPr="001C426B">
              <w:rPr>
                <w:i/>
              </w:rPr>
              <w:t xml:space="preserve"> </w:t>
            </w:r>
            <w:r w:rsidR="00153D4E">
              <w:rPr>
                <w:i/>
              </w:rPr>
              <w:t>(</w:t>
            </w:r>
            <w:r w:rsidRPr="001C426B">
              <w:rPr>
                <w:i/>
              </w:rPr>
              <w:t>done</w:t>
            </w:r>
            <w:r w:rsidR="00153D4E">
              <w:rPr>
                <w:i/>
              </w:rPr>
              <w:t>)</w:t>
            </w:r>
            <w:r w:rsidR="004820D3">
              <w:rPr>
                <w:i/>
              </w:rPr>
              <w:t>.</w:t>
            </w:r>
          </w:p>
          <w:p w:rsidR="00C45269" w:rsidRDefault="00C45269" w:rsidP="00C45269">
            <w:pPr>
              <w:pStyle w:val="ListBullet3"/>
              <w:numPr>
                <w:ilvl w:val="0"/>
                <w:numId w:val="18"/>
              </w:numPr>
            </w:pPr>
            <w:r>
              <w:t xml:space="preserve">KB asked about the Energy Saving Trust's community energy programme and what the minimum requirements were within it. </w:t>
            </w:r>
          </w:p>
          <w:p w:rsidR="00C45269" w:rsidRDefault="00C45269" w:rsidP="00C45269">
            <w:pPr>
              <w:pStyle w:val="ListBullet3"/>
              <w:numPr>
                <w:ilvl w:val="0"/>
                <w:numId w:val="18"/>
              </w:numPr>
            </w:pPr>
            <w:r>
              <w:t xml:space="preserve">PR explained that he will be taking the grid issues forward through this group, including colleagues from the Grid team within DECC. </w:t>
            </w:r>
          </w:p>
          <w:p w:rsidR="00C45269" w:rsidRDefault="00C45269" w:rsidP="00C45269">
            <w:pPr>
              <w:pStyle w:val="ListBullet3"/>
              <w:numPr>
                <w:ilvl w:val="0"/>
                <w:numId w:val="18"/>
              </w:numPr>
            </w:pPr>
            <w:r>
              <w:t xml:space="preserve">The work on </w:t>
            </w:r>
            <w:proofErr w:type="spellStart"/>
            <w:r>
              <w:t>routemaps</w:t>
            </w:r>
            <w:proofErr w:type="spellEnd"/>
            <w:r>
              <w:t xml:space="preserve"> was confirmed to focus on systems rather than individual technologies. </w:t>
            </w:r>
          </w:p>
          <w:p w:rsidR="00B56A76" w:rsidRDefault="00B56A76" w:rsidP="00C45269">
            <w:pPr>
              <w:pStyle w:val="ListBullet3"/>
              <w:numPr>
                <w:ilvl w:val="0"/>
                <w:numId w:val="18"/>
              </w:numPr>
            </w:pPr>
            <w:r>
              <w:t xml:space="preserve">Innovation is another overarching theme with different clusters across the </w:t>
            </w:r>
            <w:proofErr w:type="spellStart"/>
            <w:r>
              <w:t>workstreams</w:t>
            </w:r>
            <w:proofErr w:type="spellEnd"/>
            <w:r>
              <w:t>, including technology development e.g. as done by Universities</w:t>
            </w:r>
            <w:r w:rsidR="00153D4E">
              <w:t>.</w:t>
            </w:r>
          </w:p>
          <w:p w:rsidR="00B56A76" w:rsidRDefault="00B56A76" w:rsidP="00B56A76">
            <w:pPr>
              <w:pStyle w:val="ListBullet3"/>
              <w:numPr>
                <w:ilvl w:val="0"/>
                <w:numId w:val="18"/>
              </w:numPr>
            </w:pPr>
            <w:r>
              <w:t xml:space="preserve">GR added that the Carbon Trust did work on innovative products for DECC and BIS. </w:t>
            </w:r>
          </w:p>
          <w:p w:rsidR="00B56A76" w:rsidRDefault="00B56A76" w:rsidP="00B56A76">
            <w:pPr>
              <w:pStyle w:val="ListBullet3"/>
              <w:numPr>
                <w:ilvl w:val="0"/>
                <w:numId w:val="18"/>
              </w:numPr>
            </w:pPr>
            <w:r>
              <w:t xml:space="preserve">BA raised the point that there is a difference between displacing fossil fuels and replacing fossil fuel technologies. E.g. where biomass fuels are displacing fossil fuels, supply chain reliability becomes an issue. </w:t>
            </w:r>
          </w:p>
          <w:p w:rsidR="00B56A76" w:rsidRDefault="00B56A76" w:rsidP="004A10EF">
            <w:pPr>
              <w:pStyle w:val="ListBullet3"/>
              <w:numPr>
                <w:ilvl w:val="0"/>
                <w:numId w:val="18"/>
              </w:numPr>
            </w:pPr>
            <w:r>
              <w:t xml:space="preserve">GR made the point that "near market-ready" </w:t>
            </w:r>
            <w:proofErr w:type="gramStart"/>
            <w:r>
              <w:t xml:space="preserve">technologies, </w:t>
            </w:r>
            <w:r w:rsidR="004A10EF">
              <w:t xml:space="preserve">that </w:t>
            </w:r>
            <w:r>
              <w:t xml:space="preserve">may even </w:t>
            </w:r>
            <w:r w:rsidR="004A10EF">
              <w:t xml:space="preserve">be </w:t>
            </w:r>
            <w:r>
              <w:t>proven already in other European countries,</w:t>
            </w:r>
            <w:proofErr w:type="gramEnd"/>
            <w:r>
              <w:t xml:space="preserve"> need to be treated differently to R&amp;D. </w:t>
            </w:r>
          </w:p>
          <w:p w:rsidR="004A10EF" w:rsidRDefault="004A10EF" w:rsidP="004A10EF">
            <w:pPr>
              <w:pStyle w:val="Heading4"/>
            </w:pPr>
            <w:r>
              <w:t>Communication</w:t>
            </w:r>
          </w:p>
          <w:p w:rsidR="004A10EF" w:rsidRDefault="00B635A6" w:rsidP="004A10EF">
            <w:pPr>
              <w:pStyle w:val="ListBullet3"/>
              <w:numPr>
                <w:ilvl w:val="0"/>
                <w:numId w:val="18"/>
              </w:numPr>
            </w:pPr>
            <w:r>
              <w:t xml:space="preserve">The topic was debated whether MCS should be marketed to consumers in its own right or whether it should be piggybacked onto the Green Deal marque. </w:t>
            </w:r>
          </w:p>
          <w:p w:rsidR="002A6454" w:rsidRDefault="00627C00" w:rsidP="00627C00">
            <w:pPr>
              <w:pStyle w:val="ListBullet3"/>
              <w:numPr>
                <w:ilvl w:val="0"/>
                <w:numId w:val="18"/>
              </w:numPr>
            </w:pPr>
            <w:r>
              <w:t>Not all MCS installations will be done under Green Deal</w:t>
            </w:r>
            <w:r w:rsidR="004820D3">
              <w:t>.</w:t>
            </w:r>
          </w:p>
          <w:p w:rsidR="00570C67" w:rsidRDefault="00570C67" w:rsidP="00570C67">
            <w:pPr>
              <w:pStyle w:val="ListBullet3"/>
              <w:numPr>
                <w:ilvl w:val="0"/>
                <w:numId w:val="18"/>
              </w:numPr>
            </w:pPr>
            <w:r>
              <w:t xml:space="preserve">There will be budget within Green Deal for information and advice, and the GD accreditation marque could be separate from GD finance, e.g. an able-to-pay household may want to pay upfront rather than taking out a GD finance scheme, but use the GD marque for assurance. </w:t>
            </w:r>
          </w:p>
          <w:p w:rsidR="00834C2C" w:rsidRDefault="00834C2C" w:rsidP="00834C2C">
            <w:pPr>
              <w:pStyle w:val="Heading4"/>
            </w:pPr>
            <w:r>
              <w:t>General / next steps</w:t>
            </w:r>
          </w:p>
          <w:p w:rsidR="00834C2C" w:rsidRDefault="00834C2C" w:rsidP="00834C2C">
            <w:pPr>
              <w:pStyle w:val="ListBullet3"/>
              <w:numPr>
                <w:ilvl w:val="0"/>
                <w:numId w:val="18"/>
              </w:numPr>
            </w:pPr>
            <w:r>
              <w:t xml:space="preserve">PR advised that the </w:t>
            </w:r>
            <w:proofErr w:type="spellStart"/>
            <w:r>
              <w:t>workplans</w:t>
            </w:r>
            <w:proofErr w:type="spellEnd"/>
            <w:r>
              <w:t xml:space="preserve"> are to become one document. </w:t>
            </w:r>
            <w:r w:rsidRPr="00834C2C">
              <w:rPr>
                <w:b/>
              </w:rPr>
              <w:t>Action: MH</w:t>
            </w:r>
            <w:r>
              <w:t xml:space="preserve"> to consolidate </w:t>
            </w:r>
            <w:proofErr w:type="spellStart"/>
            <w:r>
              <w:t>workplans</w:t>
            </w:r>
            <w:proofErr w:type="spellEnd"/>
            <w:r>
              <w:t xml:space="preserve"> by Friday</w:t>
            </w:r>
            <w:r w:rsidRPr="001C426B">
              <w:rPr>
                <w:i/>
              </w:rPr>
              <w:t xml:space="preserve"> </w:t>
            </w:r>
            <w:r w:rsidR="004820D3">
              <w:rPr>
                <w:i/>
              </w:rPr>
              <w:t>(</w:t>
            </w:r>
            <w:r w:rsidRPr="001C426B">
              <w:rPr>
                <w:i/>
              </w:rPr>
              <w:t>done</w:t>
            </w:r>
            <w:r w:rsidR="004820D3">
              <w:rPr>
                <w:i/>
              </w:rPr>
              <w:t>)</w:t>
            </w:r>
            <w:r>
              <w:t xml:space="preserve">. </w:t>
            </w:r>
          </w:p>
          <w:p w:rsidR="00834C2C" w:rsidRPr="00834C2C" w:rsidRDefault="00834C2C" w:rsidP="00834C2C">
            <w:pPr>
              <w:pStyle w:val="ListBullet3"/>
              <w:numPr>
                <w:ilvl w:val="0"/>
                <w:numId w:val="18"/>
              </w:numPr>
            </w:pPr>
            <w:r>
              <w:t xml:space="preserve">PR clarified that "ownership" defines who owns the task, not the delivery. This means that individuals or organisations external to the Contact Group can become owners of a </w:t>
            </w:r>
            <w:proofErr w:type="spellStart"/>
            <w:r>
              <w:t>workstream</w:t>
            </w:r>
            <w:proofErr w:type="spellEnd"/>
            <w:r>
              <w:t xml:space="preserve">. The ownership column will not be published with the Strategy. </w:t>
            </w:r>
          </w:p>
        </w:tc>
      </w:tr>
      <w:tr w:rsidR="00A8117B" w:rsidRPr="00EC38C9" w:rsidTr="00627C00">
        <w:trPr>
          <w:jc w:val="center"/>
        </w:trPr>
        <w:tc>
          <w:tcPr>
            <w:tcW w:w="9299" w:type="dxa"/>
            <w:shd w:val="clear" w:color="auto" w:fill="E6E6E6"/>
            <w:vAlign w:val="center"/>
          </w:tcPr>
          <w:p w:rsidR="00A8117B" w:rsidRDefault="000020C1" w:rsidP="000020C1">
            <w:pPr>
              <w:pStyle w:val="ListNumber"/>
              <w:numPr>
                <w:ilvl w:val="0"/>
                <w:numId w:val="21"/>
              </w:numPr>
            </w:pPr>
            <w:r>
              <w:lastRenderedPageBreak/>
              <w:t>Presentation on the National Skills Academy for Environmental Technologies</w:t>
            </w:r>
          </w:p>
        </w:tc>
      </w:tr>
      <w:tr w:rsidR="00A8117B" w:rsidRPr="00EC38C9" w:rsidTr="00627C00">
        <w:trPr>
          <w:jc w:val="center"/>
        </w:trPr>
        <w:tc>
          <w:tcPr>
            <w:tcW w:w="9299" w:type="dxa"/>
          </w:tcPr>
          <w:p w:rsidR="00834C2C" w:rsidRDefault="00834C2C" w:rsidP="007602D5">
            <w:pPr>
              <w:pStyle w:val="ListBullet3"/>
              <w:numPr>
                <w:ilvl w:val="0"/>
                <w:numId w:val="18"/>
              </w:numPr>
            </w:pPr>
            <w:proofErr w:type="spellStart"/>
            <w:r>
              <w:t>Cathryn</w:t>
            </w:r>
            <w:proofErr w:type="spellEnd"/>
            <w:r>
              <w:t xml:space="preserve"> Hickey, Executive Director of the National Skills Academy gave a presentation on the development of the academy so far. </w:t>
            </w:r>
          </w:p>
          <w:p w:rsidR="00834C2C" w:rsidRDefault="00834C2C" w:rsidP="007602D5">
            <w:pPr>
              <w:pStyle w:val="ListBullet3"/>
              <w:numPr>
                <w:ilvl w:val="0"/>
                <w:numId w:val="18"/>
              </w:numPr>
            </w:pPr>
            <w:r w:rsidRPr="00834C2C">
              <w:rPr>
                <w:b/>
              </w:rPr>
              <w:t>Action: MH</w:t>
            </w:r>
            <w:r>
              <w:t xml:space="preserve"> to put slides onto Huddle </w:t>
            </w:r>
            <w:r w:rsidR="004820D3" w:rsidRPr="001C426B">
              <w:rPr>
                <w:i/>
              </w:rPr>
              <w:t>(</w:t>
            </w:r>
            <w:r w:rsidRPr="001C426B">
              <w:rPr>
                <w:i/>
              </w:rPr>
              <w:t>done</w:t>
            </w:r>
            <w:r w:rsidR="004820D3">
              <w:rPr>
                <w:i/>
              </w:rPr>
              <w:t>)</w:t>
            </w:r>
            <w:r>
              <w:t xml:space="preserve">. </w:t>
            </w:r>
          </w:p>
          <w:p w:rsidR="00A8117B" w:rsidRDefault="00270426" w:rsidP="00270426">
            <w:pPr>
              <w:pStyle w:val="ListBullet3"/>
              <w:numPr>
                <w:ilvl w:val="0"/>
                <w:numId w:val="18"/>
              </w:numPr>
            </w:pPr>
            <w:r>
              <w:t xml:space="preserve">Debate ensued about how training and design work </w:t>
            </w:r>
            <w:proofErr w:type="spellStart"/>
            <w:r>
              <w:t>ongoing</w:t>
            </w:r>
            <w:proofErr w:type="spellEnd"/>
            <w:r>
              <w:t xml:space="preserve"> by associations could feed into the academy. </w:t>
            </w:r>
          </w:p>
          <w:p w:rsidR="00270426" w:rsidRDefault="00270426" w:rsidP="00270426">
            <w:pPr>
              <w:pStyle w:val="ListBullet3"/>
              <w:numPr>
                <w:ilvl w:val="0"/>
                <w:numId w:val="18"/>
              </w:numPr>
            </w:pPr>
            <w:r>
              <w:t xml:space="preserve">Several members of the group expressed their discontent with not having been informed about the development of this academy, and not being able to get involved. </w:t>
            </w:r>
          </w:p>
          <w:p w:rsidR="001E4C9D" w:rsidRDefault="00270426" w:rsidP="001E4C9D">
            <w:pPr>
              <w:pStyle w:val="ListBullet3"/>
              <w:numPr>
                <w:ilvl w:val="0"/>
                <w:numId w:val="18"/>
              </w:numPr>
            </w:pPr>
            <w:r>
              <w:t>It was also criticised that the academy was creating a closed shop by only partnering with two awarding bodies</w:t>
            </w:r>
            <w:r w:rsidR="001E4C9D">
              <w:t xml:space="preserve">. </w:t>
            </w:r>
          </w:p>
          <w:p w:rsidR="00270426" w:rsidRPr="00043F52" w:rsidRDefault="001E4C9D" w:rsidP="001E4C9D">
            <w:pPr>
              <w:pStyle w:val="ListBullet3"/>
              <w:numPr>
                <w:ilvl w:val="0"/>
                <w:numId w:val="18"/>
              </w:numPr>
            </w:pPr>
            <w:r>
              <w:t xml:space="preserve">Furthermore, it might not be practical to map all existing qualifications, e.g. manufacturer-specific training done abroad.  </w:t>
            </w:r>
          </w:p>
        </w:tc>
      </w:tr>
    </w:tbl>
    <w:p w:rsidR="00A8117B" w:rsidRPr="005244E7" w:rsidRDefault="00A8117B" w:rsidP="00BD26F7"/>
    <w:sectPr w:rsidR="00A8117B" w:rsidRPr="005244E7" w:rsidSect="008F3169">
      <w:footerReference w:type="default" r:id="rId9"/>
      <w:pgSz w:w="11906" w:h="16838"/>
      <w:pgMar w:top="1134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FF" w:rsidRDefault="008E65FF" w:rsidP="0040087C">
      <w:r>
        <w:separator/>
      </w:r>
    </w:p>
  </w:endnote>
  <w:endnote w:type="continuationSeparator" w:id="0">
    <w:p w:rsidR="008E65FF" w:rsidRDefault="008E65FF" w:rsidP="0040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5FF" w:rsidRDefault="008E65FF" w:rsidP="00431BF5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F3169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</w:t>
    </w:r>
    <w:fldSimple w:instr=" NUMPAGES   \* MERGEFORMAT ">
      <w:r w:rsidR="008F3169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FF" w:rsidRDefault="008E65FF" w:rsidP="0040087C">
      <w:r>
        <w:separator/>
      </w:r>
    </w:p>
  </w:footnote>
  <w:footnote w:type="continuationSeparator" w:id="0">
    <w:p w:rsidR="008E65FF" w:rsidRDefault="008E65FF" w:rsidP="00400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80AF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62CAB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2020A1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C869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8011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526CCE"/>
    <w:lvl w:ilvl="0">
      <w:start w:val="1"/>
      <w:numFmt w:val="bullet"/>
      <w:lvlText w:val=""/>
      <w:lvlJc w:val="left"/>
      <w:pPr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80AB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4EF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multilevel"/>
    <w:tmpl w:val="C0BA5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ing4"/>
      <w:isLgl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FFFFFF89"/>
    <w:multiLevelType w:val="singleLevel"/>
    <w:tmpl w:val="03F08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776449"/>
    <w:multiLevelType w:val="hybridMultilevel"/>
    <w:tmpl w:val="310E67A2"/>
    <w:lvl w:ilvl="0" w:tplc="85129F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160E6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9CE79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64A7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169F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7AB4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1E0D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FA42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0A05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496EAA"/>
    <w:multiLevelType w:val="hybridMultilevel"/>
    <w:tmpl w:val="57F49E70"/>
    <w:lvl w:ilvl="0" w:tplc="69FC8ABA">
      <w:start w:val="1"/>
      <w:numFmt w:val="bullet"/>
      <w:pStyle w:val="ListBullet4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2">
    <w:nsid w:val="570657DC"/>
    <w:multiLevelType w:val="multilevel"/>
    <w:tmpl w:val="78943C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13">
    <w:nsid w:val="645E2ABC"/>
    <w:multiLevelType w:val="hybridMultilevel"/>
    <w:tmpl w:val="4E822E16"/>
    <w:lvl w:ilvl="0" w:tplc="C2A0FD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5243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34B37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1022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B818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F402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08FE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BA54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28BA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0208A1"/>
    <w:multiLevelType w:val="hybridMultilevel"/>
    <w:tmpl w:val="604CCC1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  <w:num w:numId="13">
    <w:abstractNumId w:val="14"/>
  </w:num>
  <w:num w:numId="14">
    <w:abstractNumId w:val="13"/>
  </w:num>
  <w:num w:numId="15">
    <w:abstractNumId w:val="1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12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79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C8"/>
    <w:rsid w:val="000020C1"/>
    <w:rsid w:val="00007205"/>
    <w:rsid w:val="000151C7"/>
    <w:rsid w:val="000360DC"/>
    <w:rsid w:val="00043F52"/>
    <w:rsid w:val="00060D0E"/>
    <w:rsid w:val="00067B78"/>
    <w:rsid w:val="00082B31"/>
    <w:rsid w:val="000B7D32"/>
    <w:rsid w:val="000E4438"/>
    <w:rsid w:val="000F061F"/>
    <w:rsid w:val="00112D05"/>
    <w:rsid w:val="00145FBC"/>
    <w:rsid w:val="00147A83"/>
    <w:rsid w:val="00153D4E"/>
    <w:rsid w:val="00155B69"/>
    <w:rsid w:val="00162480"/>
    <w:rsid w:val="0016320F"/>
    <w:rsid w:val="00170E01"/>
    <w:rsid w:val="001C426B"/>
    <w:rsid w:val="001E10E4"/>
    <w:rsid w:val="001E4C9D"/>
    <w:rsid w:val="001F4269"/>
    <w:rsid w:val="001F6457"/>
    <w:rsid w:val="00201D00"/>
    <w:rsid w:val="00223669"/>
    <w:rsid w:val="00242967"/>
    <w:rsid w:val="00246FCD"/>
    <w:rsid w:val="00270426"/>
    <w:rsid w:val="00285693"/>
    <w:rsid w:val="00290284"/>
    <w:rsid w:val="002A6454"/>
    <w:rsid w:val="002A7567"/>
    <w:rsid w:val="002D043C"/>
    <w:rsid w:val="002D40A7"/>
    <w:rsid w:val="002D62FE"/>
    <w:rsid w:val="002F33AE"/>
    <w:rsid w:val="0030768E"/>
    <w:rsid w:val="003152EB"/>
    <w:rsid w:val="00347F8C"/>
    <w:rsid w:val="00381626"/>
    <w:rsid w:val="003C63E6"/>
    <w:rsid w:val="003E4EF6"/>
    <w:rsid w:val="0040087C"/>
    <w:rsid w:val="00431BF5"/>
    <w:rsid w:val="004411DF"/>
    <w:rsid w:val="004820D3"/>
    <w:rsid w:val="004938C4"/>
    <w:rsid w:val="004A10EF"/>
    <w:rsid w:val="004A7864"/>
    <w:rsid w:val="00500AA5"/>
    <w:rsid w:val="00512DA6"/>
    <w:rsid w:val="005244E7"/>
    <w:rsid w:val="00570C67"/>
    <w:rsid w:val="005A31D8"/>
    <w:rsid w:val="005D5C14"/>
    <w:rsid w:val="005F2803"/>
    <w:rsid w:val="006012DB"/>
    <w:rsid w:val="00617825"/>
    <w:rsid w:val="00627C00"/>
    <w:rsid w:val="006366A6"/>
    <w:rsid w:val="00645909"/>
    <w:rsid w:val="00686899"/>
    <w:rsid w:val="006971B8"/>
    <w:rsid w:val="006A728C"/>
    <w:rsid w:val="006E0526"/>
    <w:rsid w:val="006F12B7"/>
    <w:rsid w:val="00733328"/>
    <w:rsid w:val="007602D5"/>
    <w:rsid w:val="00782F21"/>
    <w:rsid w:val="007E3C02"/>
    <w:rsid w:val="007E5F8C"/>
    <w:rsid w:val="00823852"/>
    <w:rsid w:val="00834C2C"/>
    <w:rsid w:val="008432FD"/>
    <w:rsid w:val="008C7E7C"/>
    <w:rsid w:val="008E65FF"/>
    <w:rsid w:val="008F3169"/>
    <w:rsid w:val="00952727"/>
    <w:rsid w:val="00960488"/>
    <w:rsid w:val="00976DC8"/>
    <w:rsid w:val="009801FF"/>
    <w:rsid w:val="00990882"/>
    <w:rsid w:val="00991377"/>
    <w:rsid w:val="00A32EF6"/>
    <w:rsid w:val="00A40387"/>
    <w:rsid w:val="00A8117B"/>
    <w:rsid w:val="00AB495F"/>
    <w:rsid w:val="00AE71B8"/>
    <w:rsid w:val="00B12CE8"/>
    <w:rsid w:val="00B25713"/>
    <w:rsid w:val="00B41F0B"/>
    <w:rsid w:val="00B56A76"/>
    <w:rsid w:val="00B635A6"/>
    <w:rsid w:val="00B80199"/>
    <w:rsid w:val="00B91090"/>
    <w:rsid w:val="00BD26F7"/>
    <w:rsid w:val="00BE16E3"/>
    <w:rsid w:val="00C45269"/>
    <w:rsid w:val="00C45658"/>
    <w:rsid w:val="00C60C6D"/>
    <w:rsid w:val="00CA5F25"/>
    <w:rsid w:val="00D326AB"/>
    <w:rsid w:val="00D5520E"/>
    <w:rsid w:val="00D611DF"/>
    <w:rsid w:val="00D8354A"/>
    <w:rsid w:val="00DA3203"/>
    <w:rsid w:val="00DC4881"/>
    <w:rsid w:val="00E0580B"/>
    <w:rsid w:val="00E3276E"/>
    <w:rsid w:val="00E361D6"/>
    <w:rsid w:val="00E44ADF"/>
    <w:rsid w:val="00E508D4"/>
    <w:rsid w:val="00E85853"/>
    <w:rsid w:val="00E914E5"/>
    <w:rsid w:val="00EA76D5"/>
    <w:rsid w:val="00EB035A"/>
    <w:rsid w:val="00EC38C9"/>
    <w:rsid w:val="00EC428B"/>
    <w:rsid w:val="00F01F47"/>
    <w:rsid w:val="00F102C9"/>
    <w:rsid w:val="00F36612"/>
    <w:rsid w:val="00F53537"/>
    <w:rsid w:val="00F63F0B"/>
    <w:rsid w:val="00F83685"/>
    <w:rsid w:val="00F86AAC"/>
    <w:rsid w:val="00FB588D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EF"/>
    <w:rPr>
      <w:rFonts w:ascii="Calibri" w:hAnsi="Calibri"/>
      <w:sz w:val="23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7F8C"/>
    <w:pPr>
      <w:keepNext/>
      <w:spacing w:before="240" w:after="60"/>
      <w:outlineLvl w:val="0"/>
    </w:pPr>
    <w:rPr>
      <w:rFonts w:ascii="Segoe UI" w:hAnsi="Segoe UI" w:cs="Arial"/>
      <w:b/>
      <w:bCs/>
      <w:spacing w:val="4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7F8C"/>
    <w:pPr>
      <w:keepNext/>
      <w:spacing w:before="240" w:after="60"/>
      <w:outlineLvl w:val="1"/>
    </w:pPr>
    <w:rPr>
      <w:rFonts w:ascii="Segoe UI" w:hAnsi="Segoe UI" w:cs="Arial"/>
      <w:b/>
      <w:bCs/>
      <w:iCs/>
      <w:spacing w:val="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82F21"/>
    <w:pPr>
      <w:keepNext/>
      <w:spacing w:before="240" w:after="60"/>
      <w:outlineLvl w:val="2"/>
    </w:pPr>
    <w:rPr>
      <w:rFonts w:ascii="Segoe UI" w:hAnsi="Segoe UI" w:cs="Arial"/>
      <w:b/>
      <w:bCs/>
      <w:sz w:val="24"/>
      <w:szCs w:val="26"/>
    </w:rPr>
  </w:style>
  <w:style w:type="paragraph" w:styleId="Heading4">
    <w:name w:val="heading 4"/>
    <w:basedOn w:val="ListParagraph"/>
    <w:next w:val="Normal"/>
    <w:link w:val="Heading4Char"/>
    <w:unhideWhenUsed/>
    <w:qFormat/>
    <w:locked/>
    <w:rsid w:val="001E4C9D"/>
    <w:pPr>
      <w:numPr>
        <w:ilvl w:val="1"/>
        <w:numId w:val="21"/>
      </w:numPr>
      <w:spacing w:before="160" w:after="60"/>
      <w:ind w:left="391" w:hanging="39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47F8C"/>
    <w:rPr>
      <w:rFonts w:ascii="Segoe UI" w:hAnsi="Segoe UI" w:cs="Arial"/>
      <w:b/>
      <w:bCs/>
      <w:spacing w:val="4"/>
      <w:kern w:val="32"/>
      <w:sz w:val="36"/>
      <w:szCs w:val="32"/>
    </w:rPr>
  </w:style>
  <w:style w:type="character" w:customStyle="1" w:styleId="Heading2Char">
    <w:name w:val="Heading 2 Char"/>
    <w:link w:val="Heading2"/>
    <w:uiPriority w:val="99"/>
    <w:rsid w:val="00347F8C"/>
    <w:rPr>
      <w:rFonts w:ascii="Segoe UI" w:hAnsi="Segoe UI" w:cs="Arial"/>
      <w:b/>
      <w:bCs/>
      <w:iCs/>
      <w:spacing w:val="2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B41C38"/>
    <w:rPr>
      <w:rFonts w:ascii="Cambria" w:eastAsia="Times New Roman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62480"/>
    <w:pPr>
      <w:ind w:left="397" w:right="113" w:hanging="284"/>
    </w:pPr>
    <w:rPr>
      <w:sz w:val="18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41C38"/>
    <w:rPr>
      <w:rFonts w:ascii="Calibri" w:hAnsi="Calibri"/>
      <w:sz w:val="20"/>
      <w:szCs w:val="20"/>
    </w:rPr>
  </w:style>
  <w:style w:type="paragraph" w:styleId="ListParagraph">
    <w:name w:val="List Paragraph"/>
    <w:basedOn w:val="Normal"/>
    <w:next w:val="ListBullet3"/>
    <w:uiPriority w:val="99"/>
    <w:qFormat/>
    <w:rsid w:val="005244E7"/>
    <w:pPr>
      <w:ind w:left="720"/>
      <w:contextualSpacing/>
    </w:pPr>
  </w:style>
  <w:style w:type="table" w:styleId="TableGrid">
    <w:name w:val="Table Grid"/>
    <w:basedOn w:val="TableNormal"/>
    <w:uiPriority w:val="99"/>
    <w:rsid w:val="00EC38C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Number">
    <w:name w:val="List Number"/>
    <w:basedOn w:val="Normal"/>
    <w:uiPriority w:val="99"/>
    <w:rsid w:val="005F2803"/>
    <w:pPr>
      <w:tabs>
        <w:tab w:val="num" w:pos="360"/>
      </w:tabs>
      <w:ind w:left="360" w:hanging="360"/>
      <w:contextualSpacing/>
    </w:pPr>
  </w:style>
  <w:style w:type="paragraph" w:styleId="ListBullet">
    <w:name w:val="List Bullet"/>
    <w:basedOn w:val="Normal"/>
    <w:uiPriority w:val="99"/>
    <w:rsid w:val="00E361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rsid w:val="00E361D6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rsid w:val="00E361D6"/>
    <w:pPr>
      <w:tabs>
        <w:tab w:val="num" w:pos="926"/>
      </w:tabs>
      <w:ind w:left="926" w:hanging="360"/>
      <w:contextualSpacing/>
    </w:pPr>
    <w:rPr>
      <w:sz w:val="22"/>
    </w:rPr>
  </w:style>
  <w:style w:type="paragraph" w:styleId="BodyText">
    <w:name w:val="Body Text"/>
    <w:basedOn w:val="Normal"/>
    <w:link w:val="BodyTextChar"/>
    <w:uiPriority w:val="99"/>
    <w:rsid w:val="00C45658"/>
    <w:pPr>
      <w:spacing w:before="60" w:after="60" w:line="264" w:lineRule="auto"/>
    </w:pPr>
    <w:rPr>
      <w:sz w:val="22"/>
    </w:rPr>
  </w:style>
  <w:style w:type="character" w:customStyle="1" w:styleId="BodyTextChar">
    <w:name w:val="Body Text Char"/>
    <w:link w:val="BodyText"/>
    <w:uiPriority w:val="99"/>
    <w:locked/>
    <w:rsid w:val="00C45658"/>
    <w:rPr>
      <w:rFonts w:ascii="Calibri" w:hAnsi="Calibri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1F4269"/>
    <w:pPr>
      <w:contextualSpacing/>
    </w:pPr>
  </w:style>
  <w:style w:type="paragraph" w:styleId="ListBullet4">
    <w:name w:val="List Bullet 4"/>
    <w:basedOn w:val="Normal"/>
    <w:uiPriority w:val="99"/>
    <w:rsid w:val="000B7D32"/>
    <w:pPr>
      <w:numPr>
        <w:numId w:val="26"/>
      </w:numPr>
      <w:tabs>
        <w:tab w:val="left" w:pos="1361"/>
      </w:tabs>
      <w:ind w:left="1587" w:hanging="340"/>
      <w:contextualSpacing/>
    </w:pPr>
    <w:rPr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DA32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B41C38"/>
    <w:rPr>
      <w:sz w:val="0"/>
      <w:szCs w:val="0"/>
    </w:rPr>
  </w:style>
  <w:style w:type="character" w:styleId="CommentReference">
    <w:name w:val="annotation reference"/>
    <w:uiPriority w:val="99"/>
    <w:semiHidden/>
    <w:rsid w:val="003816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8162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1C38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16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1C38"/>
    <w:rPr>
      <w:rFonts w:ascii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81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1C38"/>
    <w:rPr>
      <w:sz w:val="0"/>
      <w:szCs w:val="0"/>
    </w:rPr>
  </w:style>
  <w:style w:type="paragraph" w:styleId="ListNumber3">
    <w:name w:val="List Number 3"/>
    <w:basedOn w:val="Normal"/>
    <w:uiPriority w:val="99"/>
    <w:unhideWhenUsed/>
    <w:rsid w:val="00FE3B16"/>
    <w:pPr>
      <w:numPr>
        <w:numId w:val="23"/>
      </w:numPr>
      <w:ind w:left="1248" w:hanging="284"/>
      <w:contextualSpacing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4008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0087C"/>
    <w:rPr>
      <w:rFonts w:ascii="Calibri" w:hAnsi="Calibri"/>
      <w:sz w:val="23"/>
      <w:szCs w:val="24"/>
    </w:rPr>
  </w:style>
  <w:style w:type="paragraph" w:styleId="Footer">
    <w:name w:val="footer"/>
    <w:basedOn w:val="Normal"/>
    <w:link w:val="FooterChar"/>
    <w:uiPriority w:val="99"/>
    <w:unhideWhenUsed/>
    <w:rsid w:val="00431BF5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431BF5"/>
    <w:rPr>
      <w:rFonts w:ascii="Calibri" w:hAnsi="Calibri"/>
      <w:szCs w:val="24"/>
    </w:rPr>
  </w:style>
  <w:style w:type="character" w:customStyle="1" w:styleId="Heading4Char">
    <w:name w:val="Heading 4 Char"/>
    <w:basedOn w:val="DefaultParagraphFont"/>
    <w:link w:val="Heading4"/>
    <w:rsid w:val="001E4C9D"/>
    <w:rPr>
      <w:rFonts w:ascii="Calibri" w:hAnsi="Calibri"/>
      <w:sz w:val="23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0EF"/>
    <w:rPr>
      <w:rFonts w:ascii="Calibri" w:hAnsi="Calibri"/>
      <w:sz w:val="23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7F8C"/>
    <w:pPr>
      <w:keepNext/>
      <w:spacing w:before="240" w:after="60"/>
      <w:outlineLvl w:val="0"/>
    </w:pPr>
    <w:rPr>
      <w:rFonts w:ascii="Segoe UI" w:hAnsi="Segoe UI" w:cs="Arial"/>
      <w:b/>
      <w:bCs/>
      <w:spacing w:val="4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7F8C"/>
    <w:pPr>
      <w:keepNext/>
      <w:spacing w:before="240" w:after="60"/>
      <w:outlineLvl w:val="1"/>
    </w:pPr>
    <w:rPr>
      <w:rFonts w:ascii="Segoe UI" w:hAnsi="Segoe UI" w:cs="Arial"/>
      <w:b/>
      <w:bCs/>
      <w:iCs/>
      <w:spacing w:val="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82F21"/>
    <w:pPr>
      <w:keepNext/>
      <w:spacing w:before="240" w:after="60"/>
      <w:outlineLvl w:val="2"/>
    </w:pPr>
    <w:rPr>
      <w:rFonts w:ascii="Segoe UI" w:hAnsi="Segoe UI" w:cs="Arial"/>
      <w:b/>
      <w:bCs/>
      <w:sz w:val="24"/>
      <w:szCs w:val="26"/>
    </w:rPr>
  </w:style>
  <w:style w:type="paragraph" w:styleId="Heading4">
    <w:name w:val="heading 4"/>
    <w:basedOn w:val="ListParagraph"/>
    <w:next w:val="Normal"/>
    <w:link w:val="Heading4Char"/>
    <w:unhideWhenUsed/>
    <w:qFormat/>
    <w:locked/>
    <w:rsid w:val="001E4C9D"/>
    <w:pPr>
      <w:numPr>
        <w:ilvl w:val="1"/>
        <w:numId w:val="21"/>
      </w:numPr>
      <w:spacing w:before="160" w:after="60"/>
      <w:ind w:left="391" w:hanging="39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47F8C"/>
    <w:rPr>
      <w:rFonts w:ascii="Segoe UI" w:hAnsi="Segoe UI" w:cs="Arial"/>
      <w:b/>
      <w:bCs/>
      <w:spacing w:val="4"/>
      <w:kern w:val="32"/>
      <w:sz w:val="36"/>
      <w:szCs w:val="32"/>
    </w:rPr>
  </w:style>
  <w:style w:type="character" w:customStyle="1" w:styleId="Heading2Char">
    <w:name w:val="Heading 2 Char"/>
    <w:link w:val="Heading2"/>
    <w:uiPriority w:val="99"/>
    <w:rsid w:val="00347F8C"/>
    <w:rPr>
      <w:rFonts w:ascii="Segoe UI" w:hAnsi="Segoe UI" w:cs="Arial"/>
      <w:b/>
      <w:bCs/>
      <w:iCs/>
      <w:spacing w:val="2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B41C38"/>
    <w:rPr>
      <w:rFonts w:ascii="Cambria" w:eastAsia="Times New Roman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62480"/>
    <w:pPr>
      <w:ind w:left="397" w:right="113" w:hanging="284"/>
    </w:pPr>
    <w:rPr>
      <w:sz w:val="18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41C38"/>
    <w:rPr>
      <w:rFonts w:ascii="Calibri" w:hAnsi="Calibri"/>
      <w:sz w:val="20"/>
      <w:szCs w:val="20"/>
    </w:rPr>
  </w:style>
  <w:style w:type="paragraph" w:styleId="ListParagraph">
    <w:name w:val="List Paragraph"/>
    <w:basedOn w:val="Normal"/>
    <w:next w:val="ListBullet3"/>
    <w:uiPriority w:val="99"/>
    <w:qFormat/>
    <w:rsid w:val="005244E7"/>
    <w:pPr>
      <w:ind w:left="720"/>
      <w:contextualSpacing/>
    </w:pPr>
  </w:style>
  <w:style w:type="table" w:styleId="TableGrid">
    <w:name w:val="Table Grid"/>
    <w:basedOn w:val="TableNormal"/>
    <w:uiPriority w:val="99"/>
    <w:rsid w:val="00EC38C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Number">
    <w:name w:val="List Number"/>
    <w:basedOn w:val="Normal"/>
    <w:uiPriority w:val="99"/>
    <w:rsid w:val="005F2803"/>
    <w:pPr>
      <w:tabs>
        <w:tab w:val="num" w:pos="360"/>
      </w:tabs>
      <w:ind w:left="360" w:hanging="360"/>
      <w:contextualSpacing/>
    </w:pPr>
  </w:style>
  <w:style w:type="paragraph" w:styleId="ListBullet">
    <w:name w:val="List Bullet"/>
    <w:basedOn w:val="Normal"/>
    <w:uiPriority w:val="99"/>
    <w:rsid w:val="00E361D6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rsid w:val="00E361D6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rsid w:val="00E361D6"/>
    <w:pPr>
      <w:tabs>
        <w:tab w:val="num" w:pos="926"/>
      </w:tabs>
      <w:ind w:left="926" w:hanging="360"/>
      <w:contextualSpacing/>
    </w:pPr>
    <w:rPr>
      <w:sz w:val="22"/>
    </w:rPr>
  </w:style>
  <w:style w:type="paragraph" w:styleId="BodyText">
    <w:name w:val="Body Text"/>
    <w:basedOn w:val="Normal"/>
    <w:link w:val="BodyTextChar"/>
    <w:uiPriority w:val="99"/>
    <w:rsid w:val="00C45658"/>
    <w:pPr>
      <w:spacing w:before="60" w:after="60" w:line="264" w:lineRule="auto"/>
    </w:pPr>
    <w:rPr>
      <w:sz w:val="22"/>
    </w:rPr>
  </w:style>
  <w:style w:type="character" w:customStyle="1" w:styleId="BodyTextChar">
    <w:name w:val="Body Text Char"/>
    <w:link w:val="BodyText"/>
    <w:uiPriority w:val="99"/>
    <w:locked/>
    <w:rsid w:val="00C45658"/>
    <w:rPr>
      <w:rFonts w:ascii="Calibri" w:hAnsi="Calibri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1F4269"/>
    <w:pPr>
      <w:contextualSpacing/>
    </w:pPr>
  </w:style>
  <w:style w:type="paragraph" w:styleId="ListBullet4">
    <w:name w:val="List Bullet 4"/>
    <w:basedOn w:val="Normal"/>
    <w:uiPriority w:val="99"/>
    <w:rsid w:val="000B7D32"/>
    <w:pPr>
      <w:numPr>
        <w:numId w:val="26"/>
      </w:numPr>
      <w:tabs>
        <w:tab w:val="left" w:pos="1361"/>
      </w:tabs>
      <w:ind w:left="1587" w:hanging="340"/>
      <w:contextualSpacing/>
    </w:pPr>
    <w:rPr>
      <w:sz w:val="22"/>
    </w:rPr>
  </w:style>
  <w:style w:type="paragraph" w:styleId="DocumentMap">
    <w:name w:val="Document Map"/>
    <w:basedOn w:val="Normal"/>
    <w:link w:val="DocumentMapChar"/>
    <w:uiPriority w:val="99"/>
    <w:semiHidden/>
    <w:rsid w:val="00DA32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B41C38"/>
    <w:rPr>
      <w:sz w:val="0"/>
      <w:szCs w:val="0"/>
    </w:rPr>
  </w:style>
  <w:style w:type="character" w:styleId="CommentReference">
    <w:name w:val="annotation reference"/>
    <w:uiPriority w:val="99"/>
    <w:semiHidden/>
    <w:rsid w:val="0038162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8162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1C38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16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1C38"/>
    <w:rPr>
      <w:rFonts w:ascii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81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1C38"/>
    <w:rPr>
      <w:sz w:val="0"/>
      <w:szCs w:val="0"/>
    </w:rPr>
  </w:style>
  <w:style w:type="paragraph" w:styleId="ListNumber3">
    <w:name w:val="List Number 3"/>
    <w:basedOn w:val="Normal"/>
    <w:uiPriority w:val="99"/>
    <w:unhideWhenUsed/>
    <w:rsid w:val="00FE3B16"/>
    <w:pPr>
      <w:numPr>
        <w:numId w:val="23"/>
      </w:numPr>
      <w:ind w:left="1248" w:hanging="284"/>
      <w:contextualSpacing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4008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0087C"/>
    <w:rPr>
      <w:rFonts w:ascii="Calibri" w:hAnsi="Calibri"/>
      <w:sz w:val="23"/>
      <w:szCs w:val="24"/>
    </w:rPr>
  </w:style>
  <w:style w:type="paragraph" w:styleId="Footer">
    <w:name w:val="footer"/>
    <w:basedOn w:val="Normal"/>
    <w:link w:val="FooterChar"/>
    <w:uiPriority w:val="99"/>
    <w:unhideWhenUsed/>
    <w:rsid w:val="00431BF5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431BF5"/>
    <w:rPr>
      <w:rFonts w:ascii="Calibri" w:hAnsi="Calibri"/>
      <w:szCs w:val="24"/>
    </w:rPr>
  </w:style>
  <w:style w:type="character" w:customStyle="1" w:styleId="Heading4Char">
    <w:name w:val="Heading 4 Char"/>
    <w:basedOn w:val="DefaultParagraphFont"/>
    <w:link w:val="Heading4"/>
    <w:rsid w:val="001E4C9D"/>
    <w:rPr>
      <w:rFonts w:ascii="Calibri" w:hAnsi="Calibri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8E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E1BF8-A467-47DA-B4E9-1BD46A82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1410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Microgeneration Government-Industry Contact Group</vt:lpstr>
    </vt:vector>
  </TitlesOfParts>
  <Company>Energy Saving Trust</Company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Microgeneration Government-Industry Contact Group</dc:title>
  <dc:subject/>
  <dc:creator>Mathias Hessler</dc:creator>
  <cp:keywords/>
  <dc:description/>
  <cp:lastModifiedBy>Mathias Hessler</cp:lastModifiedBy>
  <cp:revision>3</cp:revision>
  <dcterms:created xsi:type="dcterms:W3CDTF">2011-06-21T15:43:00Z</dcterms:created>
  <dcterms:modified xsi:type="dcterms:W3CDTF">2011-06-22T16:00:00Z</dcterms:modified>
</cp:coreProperties>
</file>